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noProof/>
        </w:rPr>
      </w:pPr>
    </w:p>
    <w:p>
      <w:pPr>
        <w:jc w:val="center"/>
        <w:rPr>
          <w:noProof/>
        </w:rPr>
      </w:pPr>
      <w:r>
        <w:rPr>
          <w:noProof/>
        </w:rPr>
        <w:drawing>
          <wp:inline distT="0" distB="0" distL="0" distR="0">
            <wp:extent cx="2065020" cy="803152"/>
            <wp:effectExtent l="0" t="0" r="0" b="0"/>
            <wp:docPr id="1" name="Picture 1" descr="H:\My Documents\BOONTON INFORMATION AND HISTORY\LogoFiles\BoontonLogoLow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ocuments\BOONTON INFORMATION AND HISTORY\LogoFiles\BoontonLogoLowRe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0124" cy="871255"/>
                    </a:xfrm>
                    <a:prstGeom prst="rect">
                      <a:avLst/>
                    </a:prstGeom>
                    <a:noFill/>
                    <a:ln>
                      <a:noFill/>
                    </a:ln>
                  </pic:spPr>
                </pic:pic>
              </a:graphicData>
            </a:graphic>
          </wp:inline>
        </w:drawing>
      </w:r>
    </w:p>
    <w:p>
      <w:pPr>
        <w:rPr>
          <w:b/>
          <w:noProof/>
          <w:color w:val="C00000"/>
        </w:rPr>
      </w:pPr>
      <w:r>
        <w:rPr>
          <w:noProof/>
          <w:color w:val="C00000"/>
        </w:rPr>
        <w:t>T: 973-402-9410</w:t>
      </w:r>
      <w:r>
        <w:rPr>
          <w:noProof/>
          <w:color w:val="C00000"/>
        </w:rPr>
        <w:tab/>
      </w:r>
      <w:r>
        <w:rPr>
          <w:noProof/>
          <w:color w:val="C00000"/>
        </w:rPr>
        <w:tab/>
      </w:r>
      <w:r>
        <w:rPr>
          <w:noProof/>
          <w:color w:val="C00000"/>
        </w:rPr>
        <w:tab/>
      </w:r>
      <w:r>
        <w:rPr>
          <w:noProof/>
          <w:color w:val="C00000"/>
        </w:rPr>
        <w:tab/>
      </w:r>
      <w:r>
        <w:rPr>
          <w:noProof/>
          <w:color w:val="C00000"/>
        </w:rPr>
        <w:tab/>
      </w:r>
      <w:r>
        <w:rPr>
          <w:noProof/>
          <w:color w:val="C00000"/>
        </w:rPr>
        <w:tab/>
      </w:r>
      <w:r>
        <w:rPr>
          <w:noProof/>
          <w:color w:val="C00000"/>
        </w:rPr>
        <w:tab/>
      </w:r>
      <w:r>
        <w:rPr>
          <w:noProof/>
          <w:color w:val="C00000"/>
        </w:rPr>
        <w:tab/>
        <w:t>100 Washington Street</w:t>
      </w:r>
      <w:r>
        <w:rPr>
          <w:noProof/>
          <w:color w:val="C00000"/>
        </w:rPr>
        <w:br/>
      </w:r>
      <w:r>
        <w:rPr>
          <w:b/>
          <w:noProof/>
          <w:color w:val="C00000"/>
        </w:rPr>
        <w:t>F: 973-316-8498</w:t>
      </w:r>
      <w:r>
        <w:rPr>
          <w:b/>
          <w:noProof/>
          <w:color w:val="C00000"/>
        </w:rPr>
        <w:tab/>
      </w:r>
      <w:r>
        <w:rPr>
          <w:b/>
          <w:noProof/>
          <w:color w:val="C00000"/>
        </w:rPr>
        <w:tab/>
      </w:r>
      <w:r>
        <w:rPr>
          <w:b/>
          <w:noProof/>
          <w:color w:val="C00000"/>
        </w:rPr>
        <w:tab/>
      </w:r>
      <w:r>
        <w:rPr>
          <w:b/>
          <w:noProof/>
          <w:color w:val="C00000"/>
        </w:rPr>
        <w:tab/>
      </w:r>
      <w:r>
        <w:rPr>
          <w:b/>
          <w:noProof/>
          <w:color w:val="C00000"/>
        </w:rPr>
        <w:tab/>
      </w:r>
      <w:r>
        <w:rPr>
          <w:b/>
          <w:noProof/>
          <w:color w:val="C00000"/>
        </w:rPr>
        <w:tab/>
      </w:r>
      <w:r>
        <w:rPr>
          <w:b/>
          <w:noProof/>
          <w:color w:val="C00000"/>
        </w:rPr>
        <w:tab/>
      </w:r>
      <w:r>
        <w:rPr>
          <w:b/>
          <w:noProof/>
          <w:color w:val="C00000"/>
        </w:rPr>
        <w:tab/>
        <w:t xml:space="preserve">        Boonton, NJ 07005</w:t>
      </w:r>
    </w:p>
    <w:p>
      <w:pPr>
        <w:pStyle w:val="NoSpacing"/>
        <w:rPr>
          <w:b/>
        </w:rPr>
      </w:pPr>
      <w:r>
        <w:rPr>
          <w:b/>
        </w:rPr>
        <w:t>RESOLUTION # 2018-327</w:t>
      </w:r>
    </w:p>
    <w:p>
      <w:pPr>
        <w:pStyle w:val="NoSpacing"/>
        <w:rPr>
          <w:b/>
          <w:sz w:val="20"/>
        </w:rPr>
      </w:pPr>
      <w:r>
        <w:rPr>
          <w:b/>
          <w:sz w:val="20"/>
        </w:rPr>
        <w:t xml:space="preserve">RESOLUTION AUTHORIZING THE AWARD OF A FIVE-YEAR CONTRACT TO GAETA RECYCLING, INC. OF PATERSON, NEW JERSEY FOR THE COLLECTION AND TRANSPORTATION OF SOLID WASTE TO AN APPROVED DISPOSAL FACILITY </w:t>
      </w:r>
    </w:p>
    <w:p>
      <w:pPr>
        <w:pStyle w:val="NoSpacing"/>
        <w:rPr>
          <w:b/>
        </w:rPr>
      </w:pPr>
    </w:p>
    <w:p>
      <w:pPr>
        <w:pStyle w:val="NoSpacing"/>
      </w:pPr>
      <w:r>
        <w:t xml:space="preserve">WHEREAS, the Town of Boonton (“Town”) solicited bids, which were opened on November 28, 2018, for a five-year contract for the collection and transportation of solid waste to an approved disposal facility; and </w:t>
      </w:r>
    </w:p>
    <w:p>
      <w:pPr>
        <w:pStyle w:val="NoSpacing"/>
      </w:pPr>
    </w:p>
    <w:p>
      <w:pPr>
        <w:pStyle w:val="NoSpacing"/>
      </w:pPr>
      <w:r>
        <w:t xml:space="preserve">WHEREAS, the Town received one (1) bid for the contract, which was from Gaeta Recycling, Inc. and included the following option: </w:t>
      </w:r>
    </w:p>
    <w:p>
      <w:pPr>
        <w:pStyle w:val="NoSpacing"/>
      </w:pPr>
    </w:p>
    <w:p>
      <w:pPr>
        <w:pStyle w:val="NoSpacing"/>
      </w:pPr>
      <w:r>
        <w:t xml:space="preserve">           </w:t>
      </w:r>
      <w:r>
        <w:tab/>
        <w:t xml:space="preserve">OPTION 3: 4 DAYS PER WEEK/2 CANS/YEARLY </w:t>
      </w:r>
    </w:p>
    <w:p>
      <w:pPr>
        <w:pStyle w:val="NoSpacing"/>
      </w:pPr>
    </w:p>
    <w:p>
      <w:pPr>
        <w:pStyle w:val="NoSpacing"/>
      </w:pPr>
      <w:r>
        <w:tab/>
        <w:t>Year 1</w:t>
      </w:r>
      <w:r>
        <w:tab/>
        <w:t>$235,000</w:t>
      </w:r>
    </w:p>
    <w:p>
      <w:pPr>
        <w:pStyle w:val="NoSpacing"/>
      </w:pPr>
      <w:r>
        <w:tab/>
        <w:t>Year 2</w:t>
      </w:r>
      <w:r>
        <w:tab/>
        <w:t>$240,000</w:t>
      </w:r>
    </w:p>
    <w:p>
      <w:pPr>
        <w:pStyle w:val="NoSpacing"/>
      </w:pPr>
      <w:r>
        <w:tab/>
        <w:t>Year 3</w:t>
      </w:r>
      <w:r>
        <w:tab/>
        <w:t>$245,000</w:t>
      </w:r>
    </w:p>
    <w:p>
      <w:pPr>
        <w:pStyle w:val="NoSpacing"/>
      </w:pPr>
      <w:r>
        <w:tab/>
        <w:t>Year 4</w:t>
      </w:r>
      <w:r>
        <w:tab/>
        <w:t>$250,000</w:t>
      </w:r>
    </w:p>
    <w:p>
      <w:pPr>
        <w:pStyle w:val="NoSpacing"/>
      </w:pPr>
      <w:r>
        <w:tab/>
        <w:t>Year 5</w:t>
      </w:r>
      <w:r>
        <w:tab/>
        <w:t>$255,000</w:t>
      </w:r>
      <w:r>
        <w:tab/>
      </w:r>
    </w:p>
    <w:p>
      <w:pPr>
        <w:pStyle w:val="NoSpacing"/>
      </w:pPr>
      <w:r>
        <w:tab/>
      </w:r>
    </w:p>
    <w:p>
      <w:pPr>
        <w:pStyle w:val="NoSpacing"/>
      </w:pPr>
      <w:r>
        <w:t>; and</w:t>
      </w:r>
    </w:p>
    <w:p>
      <w:pPr>
        <w:pStyle w:val="NoSpacing"/>
      </w:pPr>
    </w:p>
    <w:p>
      <w:pPr>
        <w:pStyle w:val="NoSpacing"/>
      </w:pPr>
      <w:r>
        <w:t xml:space="preserve">WHEREAS, the Local Public Contracts Law, N.J.S.A. </w:t>
      </w:r>
      <w:proofErr w:type="spellStart"/>
      <w:r>
        <w:t>40A:11-1</w:t>
      </w:r>
      <w:proofErr w:type="spellEnd"/>
      <w:r>
        <w:t xml:space="preserve"> et seq., requires that competitive bidding contracts be awarded to the lowest responsible bidder; and</w:t>
      </w:r>
    </w:p>
    <w:p>
      <w:pPr>
        <w:pStyle w:val="NoSpacing"/>
      </w:pPr>
    </w:p>
    <w:p>
      <w:pPr>
        <w:pStyle w:val="NoSpacing"/>
      </w:pPr>
      <w:r>
        <w:t>WHEREAS, the Town Attorney has reviewed the bid and found it to be substantially in proper form and in compliance with the Local Public Contracts Law, and has deemed it therefore responsive; and</w:t>
      </w:r>
    </w:p>
    <w:p>
      <w:pPr>
        <w:pStyle w:val="NoSpacing"/>
      </w:pPr>
    </w:p>
    <w:p>
      <w:pPr>
        <w:pStyle w:val="NoSpacing"/>
      </w:pPr>
      <w:r>
        <w:t xml:space="preserve">WHEREAS, the Finance Committee has duly reviewed and analyzed the bid and recommends Option 3 as the most beneficial to the Town; and </w:t>
      </w:r>
    </w:p>
    <w:p>
      <w:pPr>
        <w:pStyle w:val="NoSpacing"/>
      </w:pPr>
    </w:p>
    <w:p>
      <w:pPr>
        <w:pStyle w:val="NoSpacing"/>
      </w:pPr>
      <w:r>
        <w:rPr>
          <w:bCs/>
        </w:rPr>
        <w:t xml:space="preserve">WHEREAS, </w:t>
      </w:r>
      <w:r>
        <w:t xml:space="preserve">the Chief Financial Officer has certified that sufficient funds are available for this contract.  </w:t>
      </w:r>
    </w:p>
    <w:p>
      <w:pPr>
        <w:pStyle w:val="NoSpacing"/>
      </w:pPr>
    </w:p>
    <w:p>
      <w:pPr>
        <w:pStyle w:val="NoSpacing"/>
      </w:pPr>
      <w:r>
        <w:t>NOW, THEREFORE, BE IT RESOLVED by the Mayor and Board of Alderman of the Town of Boonton, County of Morris, State of New Jersey, as follows:</w:t>
      </w:r>
    </w:p>
    <w:p>
      <w:pPr>
        <w:pStyle w:val="NoSpacing"/>
      </w:pPr>
    </w:p>
    <w:p>
      <w:pPr>
        <w:pStyle w:val="NoSpacing"/>
      </w:pPr>
      <w:r>
        <w:t xml:space="preserve">The Mayor and Board of Aldermen hereby award a contract to the lowest responsible bidder, Gaeta Recycling, Inc. of Paterson, New Jersey, for the collection and transportation of solid waste to an approved disposal facility, at a rate not to exceed $235,000 for Year 1, $240,000 for Year 2, $245,000 for Year 3, $250,000 for Year 4, and $255,000 for Year 5. </w:t>
      </w:r>
    </w:p>
    <w:p>
      <w:pPr>
        <w:pStyle w:val="NoSpacing"/>
      </w:pPr>
    </w:p>
    <w:p>
      <w:pPr>
        <w:rPr>
          <w:sz w:val="20"/>
          <w:szCs w:val="20"/>
        </w:rPr>
      </w:pPr>
      <w:r>
        <w:rPr>
          <w:sz w:val="20"/>
          <w:szCs w:val="20"/>
        </w:rPr>
        <w:br w:type="page"/>
      </w:r>
    </w:p>
    <w:p>
      <w:pPr>
        <w:pStyle w:val="NoSpacing"/>
        <w:rPr>
          <w:sz w:val="20"/>
          <w:szCs w:val="20"/>
        </w:rPr>
      </w:pPr>
    </w:p>
    <w:p>
      <w:pPr>
        <w:pStyle w:val="NoSpacing"/>
        <w:rPr>
          <w:sz w:val="20"/>
          <w:szCs w:val="20"/>
        </w:rPr>
      </w:pPr>
    </w:p>
    <w:p>
      <w:pPr>
        <w:pStyle w:val="NoSpacing"/>
        <w:rPr>
          <w:sz w:val="20"/>
          <w:szCs w:val="20"/>
        </w:rPr>
      </w:pPr>
    </w:p>
    <w:p>
      <w:pPr>
        <w:pStyle w:val="NoSpacing"/>
        <w:rPr>
          <w:sz w:val="20"/>
          <w:szCs w:val="20"/>
        </w:rPr>
      </w:pPr>
    </w:p>
    <w:p>
      <w:pPr>
        <w:pStyle w:val="NoSpacing"/>
        <w:rPr>
          <w:sz w:val="20"/>
          <w:szCs w:val="20"/>
        </w:rPr>
      </w:pPr>
      <w:bookmarkStart w:id="0" w:name="_GoBack"/>
      <w:bookmarkEnd w:id="0"/>
      <w:r>
        <w:rPr>
          <w:sz w:val="20"/>
          <w:szCs w:val="20"/>
        </w:rPr>
        <w:t>The Mayor and Town Clerk are hereby authorized and directed to execute said contract.</w:t>
      </w:r>
    </w:p>
    <w:p>
      <w:pPr>
        <w:pStyle w:val="NoSpacing"/>
        <w:rPr>
          <w:sz w:val="20"/>
          <w:szCs w:val="20"/>
        </w:rPr>
      </w:pPr>
    </w:p>
    <w:p>
      <w:pPr>
        <w:pStyle w:val="NoSpacing"/>
      </w:pPr>
      <w:r>
        <w:t>This Resolution and contract shall be available for public inspection in the office of the Town Clerk.</w:t>
      </w:r>
    </w:p>
    <w:p>
      <w:pPr>
        <w:pStyle w:val="NoSpacing"/>
      </w:pPr>
      <w:r>
        <w:t>This Resolution shall take effect immediately.</w:t>
      </w:r>
    </w:p>
    <w:p>
      <w:pPr>
        <w:pStyle w:val="NoSpacing"/>
        <w:rPr>
          <w:i/>
          <w:sz w:val="20"/>
        </w:rPr>
      </w:pPr>
    </w:p>
    <w:p>
      <w:pPr>
        <w:pStyle w:val="NoSpacing"/>
        <w:rPr>
          <w:i/>
          <w:sz w:val="20"/>
        </w:rPr>
      </w:pPr>
    </w:p>
    <w:p>
      <w:pPr>
        <w:pStyle w:val="NoSpacing"/>
        <w:rPr>
          <w:i/>
          <w:sz w:val="20"/>
        </w:rPr>
      </w:pPr>
      <w:r>
        <w:rPr>
          <w:i/>
          <w:sz w:val="20"/>
        </w:rPr>
        <w:t>I, Elizabeth Bonsiewich, Deputy Municipal Clerk of the Town of Boonton, NJ, hereby certify that the foregoing resolution to be a true and correct copy adopted by the Mayor and Board of Aldermen at a regular meeting of said governing body held on December 17, 2018.</w:t>
      </w:r>
    </w:p>
    <w:p>
      <w:pPr>
        <w:pStyle w:val="NoSpacing"/>
        <w:rPr>
          <w:i/>
          <w:sz w:val="20"/>
        </w:rPr>
      </w:pPr>
    </w:p>
    <w:p>
      <w:pPr>
        <w:pStyle w:val="NoSpacing"/>
        <w:jc w:val="right"/>
        <w:rPr>
          <w:i/>
          <w:sz w:val="20"/>
        </w:rPr>
      </w:pPr>
      <w:r>
        <w:rPr>
          <w:i/>
          <w:sz w:val="20"/>
        </w:rPr>
        <w:t xml:space="preserve">______________________________________ </w:t>
      </w:r>
    </w:p>
    <w:p>
      <w:pPr>
        <w:pStyle w:val="NoSpacing"/>
        <w:jc w:val="right"/>
        <w:rPr>
          <w:i/>
          <w:sz w:val="20"/>
        </w:rPr>
      </w:pPr>
      <w:r>
        <w:rPr>
          <w:i/>
          <w:sz w:val="20"/>
        </w:rPr>
        <w:t>Elizabeth Bonsiewich, Deputy Town Clerk</w:t>
      </w:r>
    </w:p>
    <w:p>
      <w:pPr>
        <w:pStyle w:val="NoSpacing"/>
      </w:pPr>
    </w:p>
    <w:p>
      <w:pPr>
        <w:pStyle w:val="NoSpacing"/>
      </w:pPr>
    </w:p>
    <w:p>
      <w:pPr>
        <w:pStyle w:val="NoSpacing"/>
      </w:pPr>
    </w:p>
    <w:p>
      <w:pPr>
        <w:pStyle w:val="NoSpacing"/>
      </w:pPr>
    </w:p>
    <w:p>
      <w:pPr>
        <w:pStyle w:val="NoSpacing"/>
      </w:pPr>
    </w:p>
    <w:p>
      <w:pPr>
        <w:pStyle w:val="NoSpacing"/>
      </w:pPr>
    </w:p>
    <w:p>
      <w:pPr>
        <w:pStyle w:val="NoSpacing"/>
      </w:pPr>
    </w:p>
    <w:p>
      <w:pPr>
        <w:pStyle w:val="NoSpacing"/>
      </w:pPr>
    </w:p>
    <w:p>
      <w:pPr>
        <w:pStyle w:val="NoSpacing"/>
      </w:pPr>
    </w:p>
    <w:p>
      <w:pPr>
        <w:pStyle w:val="NoSpacing"/>
      </w:pPr>
    </w:p>
    <w:p>
      <w:pPr>
        <w:pStyle w:val="NoSpacing"/>
      </w:pPr>
    </w:p>
    <w:p>
      <w:pPr>
        <w:pStyle w:val="NoSpacing"/>
      </w:pPr>
    </w:p>
    <w:p>
      <w:pPr>
        <w:pStyle w:val="NoSpacing"/>
      </w:pPr>
    </w:p>
    <w:p>
      <w:pPr>
        <w:pStyle w:val="NoSpacing"/>
        <w:jc w:val="center"/>
      </w:pPr>
      <w:r>
        <w:rPr>
          <w:noProof/>
        </w:rPr>
        <w:drawing>
          <wp:inline distT="0" distB="0" distL="0" distR="0">
            <wp:extent cx="1188720" cy="465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4011" cy="483158"/>
                    </a:xfrm>
                    <a:prstGeom prst="rect">
                      <a:avLst/>
                    </a:prstGeom>
                    <a:noFill/>
                    <a:ln>
                      <a:noFill/>
                    </a:ln>
                  </pic:spPr>
                </pic:pic>
              </a:graphicData>
            </a:graphic>
          </wp:inline>
        </w:drawing>
      </w:r>
    </w:p>
    <w:sectPr>
      <w:footerReference w:type="default" r:id="rId10"/>
      <w:pgSz w:w="12240" w:h="15840"/>
      <w:pgMar w:top="18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pPr>
      <w:r>
        <w:separator/>
      </w:r>
    </w:p>
  </w:endnote>
  <w:endnote w:type="continuationSeparator" w:id="0">
    <w:p>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pPr>
      <w:r>
        <w:separator/>
      </w:r>
    </w:p>
  </w:footnote>
  <w:footnote w:type="continuationSeparator" w:id="0">
    <w:p>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6337F"/>
    <w:multiLevelType w:val="hybridMultilevel"/>
    <w:tmpl w:val="EC226AE4"/>
    <w:lvl w:ilvl="0" w:tplc="4ACA812C">
      <w:start w:val="1"/>
      <w:numFmt w:val="decimal"/>
      <w:lvlText w:val="%1."/>
      <w:lvlJc w:val="left"/>
      <w:pPr>
        <w:tabs>
          <w:tab w:val="num" w:pos="1440"/>
        </w:tabs>
        <w:ind w:left="1440" w:hanging="360"/>
      </w:pPr>
      <w:rPr>
        <w:rFonts w:ascii="Arial" w:eastAsia="Times New Roman" w:hAnsi="Arial" w:cs="Arial"/>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A824C18"/>
    <w:multiLevelType w:val="hybridMultilevel"/>
    <w:tmpl w:val="7DC8E4EC"/>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inkAnnotation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C9CA4DD5-A23A-475A-A8E0-62C253AD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NoSpacing"/>
    <w:qFormat/>
  </w:style>
  <w:style w:type="paragraph" w:styleId="Heading1">
    <w:name w:val="heading 1"/>
    <w:basedOn w:val="Normal"/>
    <w:next w:val="Normal"/>
    <w:link w:val="Heading1Char"/>
    <w:uiPriority w:val="9"/>
    <w:qFormat/>
    <w:pPr>
      <w:keepNext/>
      <w:spacing w:before="240" w:after="60"/>
      <w:ind w:left="720" w:hanging="72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pPr>
      <w:spacing w:after="0"/>
    </w:p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ascii="Cambria" w:eastAsia="Times New Roman" w:hAnsi="Cambria" w:cs="Times New Roman"/>
      <w:b/>
      <w:bCs/>
      <w:kern w:val="32"/>
      <w:sz w:val="32"/>
      <w:szCs w:val="32"/>
    </w:rPr>
  </w:style>
  <w:style w:type="table" w:customStyle="1" w:styleId="TableGrid2">
    <w:name w:val="Table Grid2"/>
    <w:basedOn w:val="TableNormal"/>
    <w:next w:val="TableGrid"/>
    <w:uiPriority w:val="39"/>
    <w:pPr>
      <w:spacing w:after="0"/>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spacing w:after="0"/>
      <w:ind w:left="720" w:hanging="720"/>
      <w:contextualSpacing/>
    </w:pPr>
    <w:rPr>
      <w:rFonts w:ascii="Calibri" w:eastAsia="Calibri" w:hAnsi="Calibri" w:cs="Times New Roman"/>
      <w:sz w:val="20"/>
      <w:szCs w:val="20"/>
    </w:rPr>
  </w:style>
  <w:style w:type="paragraph" w:styleId="BlockText">
    <w:name w:val="Block Text"/>
    <w:basedOn w:val="Normal"/>
    <w:semiHidden/>
    <w:pPr>
      <w:overflowPunct w:val="0"/>
      <w:autoSpaceDE w:val="0"/>
      <w:autoSpaceDN w:val="0"/>
      <w:adjustRightInd w:val="0"/>
      <w:spacing w:after="0"/>
      <w:ind w:left="720" w:right="720" w:hanging="720"/>
      <w:jc w:val="both"/>
      <w:textAlignment w:val="baseline"/>
    </w:pPr>
    <w:rPr>
      <w:rFonts w:ascii="Arial" w:eastAsia="Times New Roman" w:hAnsi="Arial" w:cs="Arial"/>
      <w:b/>
      <w:color w:val="000000"/>
      <w:spacing w:val="-3"/>
      <w:sz w:val="24"/>
      <w:szCs w:val="20"/>
    </w:rPr>
  </w:style>
  <w:style w:type="paragraph" w:styleId="BodyTextIndent2">
    <w:name w:val="Body Text Indent 2"/>
    <w:basedOn w:val="Normal"/>
    <w:link w:val="BodyTextIndent2Char"/>
    <w:uiPriority w:val="99"/>
    <w:unhideWhenUsed/>
    <w:pPr>
      <w:spacing w:after="120" w:line="480" w:lineRule="auto"/>
      <w:ind w:left="36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uiPriority w:val="99"/>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unhideWhenUsed/>
    <w:pPr>
      <w:spacing w:after="120"/>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semiHidden/>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79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C0212-58A0-4A3F-A422-84502AEF8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Oravits</dc:creator>
  <cp:keywords/>
  <dc:description/>
  <cp:lastModifiedBy>Cynthia Oravits</cp:lastModifiedBy>
  <cp:revision>2</cp:revision>
  <cp:lastPrinted>2018-12-17T20:01:00Z</cp:lastPrinted>
  <dcterms:created xsi:type="dcterms:W3CDTF">2018-12-17T20:02:00Z</dcterms:created>
  <dcterms:modified xsi:type="dcterms:W3CDTF">2018-12-17T20:02:00Z</dcterms:modified>
</cp:coreProperties>
</file>